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A7DA9" w14:textId="693857FB" w:rsidR="0098206D" w:rsidRDefault="0098206D" w:rsidP="0098206D">
      <w:pPr>
        <w:pStyle w:val="Header"/>
        <w:spacing w:line="480" w:lineRule="auto"/>
        <w:jc w:val="center"/>
        <w:rPr>
          <w:rFonts w:ascii="Times New Roman" w:hAnsi="Times New Roman" w:cs="Times New Roman"/>
          <w:sz w:val="24"/>
          <w:szCs w:val="24"/>
        </w:rPr>
      </w:pPr>
    </w:p>
    <w:p w14:paraId="319428F4" w14:textId="5102C5AC" w:rsidR="009309E3" w:rsidRDefault="009309E3" w:rsidP="0098206D">
      <w:pPr>
        <w:pStyle w:val="Header"/>
        <w:spacing w:line="480" w:lineRule="auto"/>
        <w:jc w:val="center"/>
        <w:rPr>
          <w:rFonts w:ascii="Times New Roman" w:hAnsi="Times New Roman" w:cs="Times New Roman"/>
          <w:sz w:val="24"/>
          <w:szCs w:val="24"/>
        </w:rPr>
      </w:pPr>
    </w:p>
    <w:p w14:paraId="72662E06" w14:textId="5B91D868" w:rsidR="009309E3" w:rsidRDefault="009309E3" w:rsidP="0098206D">
      <w:pPr>
        <w:pStyle w:val="Header"/>
        <w:spacing w:line="480" w:lineRule="auto"/>
        <w:jc w:val="center"/>
        <w:rPr>
          <w:rFonts w:ascii="Times New Roman" w:hAnsi="Times New Roman" w:cs="Times New Roman"/>
          <w:sz w:val="24"/>
          <w:szCs w:val="24"/>
        </w:rPr>
      </w:pPr>
    </w:p>
    <w:p w14:paraId="0527F69C" w14:textId="4E5C6C7E" w:rsidR="009309E3" w:rsidRDefault="009309E3" w:rsidP="0098206D">
      <w:pPr>
        <w:pStyle w:val="Header"/>
        <w:spacing w:line="480" w:lineRule="auto"/>
        <w:jc w:val="center"/>
        <w:rPr>
          <w:rFonts w:ascii="Times New Roman" w:hAnsi="Times New Roman" w:cs="Times New Roman"/>
          <w:sz w:val="24"/>
          <w:szCs w:val="24"/>
        </w:rPr>
      </w:pPr>
    </w:p>
    <w:p w14:paraId="4ABAF5AA" w14:textId="2B56EE0C" w:rsidR="009309E3" w:rsidRDefault="009309E3" w:rsidP="0098206D">
      <w:pPr>
        <w:pStyle w:val="Header"/>
        <w:spacing w:line="480" w:lineRule="auto"/>
        <w:jc w:val="center"/>
        <w:rPr>
          <w:rFonts w:ascii="Times New Roman" w:hAnsi="Times New Roman" w:cs="Times New Roman"/>
          <w:sz w:val="24"/>
          <w:szCs w:val="24"/>
        </w:rPr>
      </w:pPr>
    </w:p>
    <w:p w14:paraId="40F71096" w14:textId="77777777" w:rsidR="009309E3" w:rsidRDefault="009309E3" w:rsidP="0098206D">
      <w:pPr>
        <w:pStyle w:val="Header"/>
        <w:spacing w:line="480" w:lineRule="auto"/>
        <w:jc w:val="center"/>
        <w:rPr>
          <w:rFonts w:ascii="Times New Roman" w:hAnsi="Times New Roman" w:cs="Times New Roman"/>
          <w:sz w:val="24"/>
          <w:szCs w:val="24"/>
        </w:rPr>
      </w:pPr>
    </w:p>
    <w:p w14:paraId="40C383E0" w14:textId="77777777" w:rsidR="0098206D" w:rsidRDefault="0098206D" w:rsidP="0098206D">
      <w:pPr>
        <w:pStyle w:val="Header"/>
        <w:spacing w:line="480" w:lineRule="auto"/>
        <w:jc w:val="center"/>
        <w:rPr>
          <w:rFonts w:ascii="Times New Roman" w:hAnsi="Times New Roman" w:cs="Times New Roman"/>
          <w:sz w:val="24"/>
          <w:szCs w:val="24"/>
        </w:rPr>
      </w:pPr>
    </w:p>
    <w:p w14:paraId="27A70D28" w14:textId="77777777" w:rsidR="0098206D" w:rsidRDefault="0098206D" w:rsidP="0098206D">
      <w:pPr>
        <w:pStyle w:val="Header"/>
        <w:spacing w:line="480" w:lineRule="auto"/>
        <w:jc w:val="center"/>
        <w:rPr>
          <w:rFonts w:ascii="Times New Roman" w:hAnsi="Times New Roman" w:cs="Times New Roman"/>
          <w:sz w:val="24"/>
          <w:szCs w:val="24"/>
        </w:rPr>
      </w:pPr>
    </w:p>
    <w:p w14:paraId="4CE9D406" w14:textId="77777777" w:rsidR="0098206D" w:rsidRDefault="00A0556C" w:rsidP="0098206D">
      <w:pPr>
        <w:pStyle w:val="Header"/>
        <w:spacing w:line="480" w:lineRule="auto"/>
        <w:jc w:val="center"/>
        <w:rPr>
          <w:rFonts w:ascii="Times New Roman" w:hAnsi="Times New Roman" w:cs="Times New Roman"/>
          <w:sz w:val="24"/>
          <w:szCs w:val="24"/>
        </w:rPr>
      </w:pPr>
      <w:bookmarkStart w:id="0" w:name="_GoBack"/>
      <w:r w:rsidRPr="0098206D">
        <w:rPr>
          <w:rFonts w:ascii="Times New Roman" w:hAnsi="Times New Roman" w:cs="Times New Roman"/>
          <w:sz w:val="24"/>
          <w:szCs w:val="24"/>
        </w:rPr>
        <w:t>S</w:t>
      </w:r>
      <w:r>
        <w:rPr>
          <w:rFonts w:ascii="Times New Roman" w:hAnsi="Times New Roman" w:cs="Times New Roman"/>
          <w:sz w:val="24"/>
          <w:szCs w:val="24"/>
        </w:rPr>
        <w:t>trategic Management and Business P</w:t>
      </w:r>
      <w:r w:rsidRPr="0098206D">
        <w:rPr>
          <w:rFonts w:ascii="Times New Roman" w:hAnsi="Times New Roman" w:cs="Times New Roman"/>
          <w:sz w:val="24"/>
          <w:szCs w:val="24"/>
        </w:rPr>
        <w:t>olicies</w:t>
      </w:r>
    </w:p>
    <w:bookmarkEnd w:id="0"/>
    <w:p w14:paraId="6180880A" w14:textId="77777777" w:rsidR="0098206D" w:rsidRDefault="00A0556C" w:rsidP="0098206D">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C7FE861" w14:textId="77777777" w:rsidR="0098206D" w:rsidRDefault="00A0556C" w:rsidP="0098206D">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2AC69CFC" w14:textId="77777777" w:rsidR="0098206D" w:rsidRDefault="00A0556C" w:rsidP="0098206D">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D9CD9B1" w14:textId="77777777" w:rsidR="0098206D" w:rsidRDefault="00A0556C" w:rsidP="0098206D">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0A9F023" w14:textId="4330F2DF" w:rsidR="0098206D" w:rsidRDefault="00A0556C" w:rsidP="0098206D">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B03F4AD" w14:textId="77777777" w:rsidR="0098206D" w:rsidRDefault="00A0556C">
      <w:pPr>
        <w:rPr>
          <w:rFonts w:ascii="Times New Roman" w:hAnsi="Times New Roman" w:cs="Times New Roman"/>
          <w:sz w:val="24"/>
          <w:szCs w:val="24"/>
        </w:rPr>
      </w:pPr>
      <w:r>
        <w:rPr>
          <w:rFonts w:ascii="Times New Roman" w:hAnsi="Times New Roman" w:cs="Times New Roman"/>
          <w:sz w:val="24"/>
          <w:szCs w:val="24"/>
        </w:rPr>
        <w:br w:type="page"/>
      </w:r>
    </w:p>
    <w:p w14:paraId="4ED2F539" w14:textId="14D52B46" w:rsidR="00D12104" w:rsidRPr="00D12104" w:rsidRDefault="00A0556C" w:rsidP="00D1210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D12104">
        <w:rPr>
          <w:rFonts w:ascii="Times New Roman" w:hAnsi="Times New Roman" w:cs="Times New Roman"/>
          <w:sz w:val="24"/>
          <w:szCs w:val="24"/>
        </w:rPr>
        <w:t>During the previous decades, clarifications of firm execution in vital administration have shifted over a few distinctive research standards: the focused powers approach, the vital clash app</w:t>
      </w:r>
      <w:r>
        <w:rPr>
          <w:rFonts w:ascii="Times New Roman" w:hAnsi="Times New Roman" w:cs="Times New Roman"/>
          <w:sz w:val="24"/>
          <w:szCs w:val="24"/>
        </w:rPr>
        <w:t>roach, and the asset-based view</w:t>
      </w:r>
      <w:r w:rsidRPr="00D12104">
        <w:rPr>
          <w:rFonts w:ascii="Times New Roman" w:hAnsi="Times New Roman" w:cs="Times New Roman"/>
          <w:sz w:val="24"/>
          <w:szCs w:val="24"/>
        </w:rPr>
        <w:t xml:space="preserve">. </w:t>
      </w:r>
      <w:r w:rsidR="001644D6">
        <w:rPr>
          <w:rFonts w:ascii="Times New Roman" w:hAnsi="Times New Roman" w:cs="Times New Roman"/>
          <w:sz w:val="24"/>
          <w:szCs w:val="24"/>
        </w:rPr>
        <w:t xml:space="preserve">According to </w:t>
      </w:r>
      <w:r w:rsidR="001644D6">
        <w:rPr>
          <w:rFonts w:ascii="Times New Roman" w:hAnsi="Times New Roman" w:cs="Times New Roman"/>
          <w:color w:val="222222"/>
          <w:sz w:val="24"/>
          <w:szCs w:val="24"/>
          <w:shd w:val="clear" w:color="auto" w:fill="FFFFFF"/>
        </w:rPr>
        <w:t>Rugman &amp; Verbeke (2017),</w:t>
      </w:r>
      <w:r w:rsidRPr="00D12104">
        <w:rPr>
          <w:rFonts w:ascii="Times New Roman" w:hAnsi="Times New Roman" w:cs="Times New Roman"/>
          <w:sz w:val="24"/>
          <w:szCs w:val="24"/>
        </w:rPr>
        <w:t xml:space="preserve"> </w:t>
      </w:r>
      <w:r w:rsidR="00342076">
        <w:rPr>
          <w:rFonts w:ascii="Times New Roman" w:hAnsi="Times New Roman" w:cs="Times New Roman"/>
          <w:sz w:val="24"/>
          <w:szCs w:val="24"/>
        </w:rPr>
        <w:t>leadership</w:t>
      </w:r>
      <w:r w:rsidRPr="00D12104">
        <w:rPr>
          <w:rFonts w:ascii="Times New Roman" w:hAnsi="Times New Roman" w:cs="Times New Roman"/>
          <w:sz w:val="24"/>
          <w:szCs w:val="24"/>
        </w:rPr>
        <w:t xml:space="preserve"> is </w:t>
      </w:r>
      <w:r w:rsidR="00342076">
        <w:rPr>
          <w:rFonts w:ascii="Times New Roman" w:hAnsi="Times New Roman" w:cs="Times New Roman"/>
          <w:sz w:val="24"/>
          <w:szCs w:val="24"/>
        </w:rPr>
        <w:t>perceived in terms of the</w:t>
      </w:r>
      <w:r w:rsidRPr="00D12104">
        <w:rPr>
          <w:rFonts w:ascii="Times New Roman" w:hAnsi="Times New Roman" w:cs="Times New Roman"/>
          <w:sz w:val="24"/>
          <w:szCs w:val="24"/>
        </w:rPr>
        <w:t xml:space="preserve"> fruitful strategizing of industry </w:t>
      </w:r>
      <w:r w:rsidR="00342076">
        <w:rPr>
          <w:rFonts w:ascii="Times New Roman" w:hAnsi="Times New Roman" w:cs="Times New Roman"/>
          <w:sz w:val="24"/>
          <w:szCs w:val="24"/>
        </w:rPr>
        <w:t>plans</w:t>
      </w:r>
      <w:r w:rsidRPr="00D12104">
        <w:rPr>
          <w:rFonts w:ascii="Times New Roman" w:hAnsi="Times New Roman" w:cs="Times New Roman"/>
          <w:sz w:val="24"/>
          <w:szCs w:val="24"/>
        </w:rPr>
        <w:t xml:space="preserve"> in what</w:t>
      </w:r>
      <w:r w:rsidR="00342076">
        <w:rPr>
          <w:rFonts w:ascii="Times New Roman" w:hAnsi="Times New Roman" w:cs="Times New Roman"/>
          <w:sz w:val="24"/>
          <w:szCs w:val="24"/>
        </w:rPr>
        <w:t>ever</w:t>
      </w:r>
      <w:r w:rsidRPr="00D12104">
        <w:rPr>
          <w:rFonts w:ascii="Times New Roman" w:hAnsi="Times New Roman" w:cs="Times New Roman"/>
          <w:sz w:val="24"/>
          <w:szCs w:val="24"/>
        </w:rPr>
        <w:t xml:space="preserve"> c</w:t>
      </w:r>
      <w:r w:rsidR="00342076">
        <w:rPr>
          <w:rFonts w:ascii="Times New Roman" w:hAnsi="Times New Roman" w:cs="Times New Roman"/>
          <w:sz w:val="24"/>
          <w:szCs w:val="24"/>
        </w:rPr>
        <w:t>ould be done</w:t>
      </w:r>
      <w:r w:rsidRPr="00D12104">
        <w:rPr>
          <w:rFonts w:ascii="Times New Roman" w:hAnsi="Times New Roman" w:cs="Times New Roman"/>
          <w:sz w:val="24"/>
          <w:szCs w:val="24"/>
        </w:rPr>
        <w:t xml:space="preserve"> </w:t>
      </w:r>
      <w:r w:rsidR="00342076">
        <w:rPr>
          <w:rFonts w:ascii="Times New Roman" w:hAnsi="Times New Roman" w:cs="Times New Roman"/>
          <w:sz w:val="24"/>
          <w:szCs w:val="24"/>
        </w:rPr>
        <w:t xml:space="preserve">to revert the demanding </w:t>
      </w:r>
      <w:r w:rsidR="000F13F7">
        <w:rPr>
          <w:rFonts w:ascii="Times New Roman" w:hAnsi="Times New Roman" w:cs="Times New Roman"/>
          <w:sz w:val="24"/>
          <w:szCs w:val="24"/>
        </w:rPr>
        <w:t xml:space="preserve">situation. </w:t>
      </w:r>
      <w:r w:rsidRPr="00D12104">
        <w:rPr>
          <w:rFonts w:ascii="Times New Roman" w:hAnsi="Times New Roman" w:cs="Times New Roman"/>
          <w:sz w:val="24"/>
          <w:szCs w:val="24"/>
        </w:rPr>
        <w:t xml:space="preserve">The asset-based view (RBV) ascribes execution differentials to stable and heterogeneous assets that have naturally various degrees of proficiency. Subsequently, a few assets are better than others in that they enable the firm to create at a lower monetary expense or furnish items with a higher saw advantage.  </w:t>
      </w:r>
    </w:p>
    <w:p w14:paraId="0E6A64B4" w14:textId="702ECC7D" w:rsidR="00D12104" w:rsidRPr="00D12104" w:rsidRDefault="00A0556C" w:rsidP="00D1210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D12104">
        <w:rPr>
          <w:rFonts w:ascii="Times New Roman" w:hAnsi="Times New Roman" w:cs="Times New Roman"/>
          <w:sz w:val="24"/>
          <w:szCs w:val="24"/>
        </w:rPr>
        <w:t>In balance, firms with minor variables will perform to make back the initial investment while firms with prevalen</w:t>
      </w:r>
      <w:r w:rsidR="001644D6">
        <w:rPr>
          <w:rFonts w:ascii="Times New Roman" w:hAnsi="Times New Roman" w:cs="Times New Roman"/>
          <w:sz w:val="24"/>
          <w:szCs w:val="24"/>
        </w:rPr>
        <w:t>t assets can win monetary rents (</w:t>
      </w:r>
      <w:r w:rsidR="001644D6">
        <w:rPr>
          <w:rFonts w:ascii="Times New Roman" w:hAnsi="Times New Roman" w:cs="Times New Roman"/>
          <w:color w:val="222222"/>
          <w:sz w:val="24"/>
          <w:szCs w:val="24"/>
          <w:shd w:val="clear" w:color="auto" w:fill="FFFFFF"/>
        </w:rPr>
        <w:t xml:space="preserve">Steiss, </w:t>
      </w:r>
      <w:r w:rsidR="001644D6" w:rsidRPr="001644D6">
        <w:rPr>
          <w:rFonts w:ascii="Times New Roman" w:hAnsi="Times New Roman" w:cs="Times New Roman"/>
          <w:color w:val="222222"/>
          <w:sz w:val="24"/>
          <w:szCs w:val="24"/>
          <w:shd w:val="clear" w:color="auto" w:fill="FFFFFF"/>
        </w:rPr>
        <w:t>2019).</w:t>
      </w:r>
      <w:r w:rsidRPr="00D12104">
        <w:rPr>
          <w:rFonts w:ascii="Times New Roman" w:hAnsi="Times New Roman" w:cs="Times New Roman"/>
          <w:sz w:val="24"/>
          <w:szCs w:val="24"/>
        </w:rPr>
        <w:t xml:space="preserve"> As represented by the distinction between the focused powers/vital clash draws near and the RBV in regards to the anticipated kind of execution impact and the kind of ward factors researched, the field of key administration can be arranged under two general headings:</w:t>
      </w:r>
      <w:r w:rsidR="001644D6">
        <w:rPr>
          <w:rFonts w:ascii="Times New Roman" w:hAnsi="Times New Roman" w:cs="Times New Roman"/>
          <w:sz w:val="24"/>
          <w:szCs w:val="24"/>
        </w:rPr>
        <w:t xml:space="preserve"> strategizing and streamlining (</w:t>
      </w:r>
      <w:r w:rsidR="001644D6">
        <w:rPr>
          <w:rFonts w:ascii="Times New Roman" w:hAnsi="Times New Roman" w:cs="Times New Roman"/>
          <w:color w:val="222222"/>
          <w:sz w:val="24"/>
          <w:szCs w:val="24"/>
          <w:shd w:val="clear" w:color="auto" w:fill="FFFFFF"/>
        </w:rPr>
        <w:t xml:space="preserve">Rugman, &amp; Verbeke, </w:t>
      </w:r>
      <w:r w:rsidR="001644D6" w:rsidRPr="001644D6">
        <w:rPr>
          <w:rFonts w:ascii="Times New Roman" w:hAnsi="Times New Roman" w:cs="Times New Roman"/>
          <w:color w:val="222222"/>
          <w:sz w:val="24"/>
          <w:szCs w:val="24"/>
          <w:shd w:val="clear" w:color="auto" w:fill="FFFFFF"/>
        </w:rPr>
        <w:t>2017).</w:t>
      </w:r>
      <w:r w:rsidR="001644D6">
        <w:rPr>
          <w:rFonts w:ascii="Times New Roman" w:hAnsi="Times New Roman" w:cs="Times New Roman"/>
          <w:color w:val="222222"/>
          <w:sz w:val="24"/>
          <w:szCs w:val="24"/>
          <w:shd w:val="clear" w:color="auto" w:fill="FFFFFF"/>
        </w:rPr>
        <w:t xml:space="preserve"> </w:t>
      </w:r>
      <w:r w:rsidRPr="00D12104">
        <w:rPr>
          <w:rFonts w:ascii="Times New Roman" w:hAnsi="Times New Roman" w:cs="Times New Roman"/>
          <w:sz w:val="24"/>
          <w:szCs w:val="24"/>
        </w:rPr>
        <w:t>The primary interests of power, bartering and the capacity of financial entertainers to proper monetary worth; the second is essentially worried about productivity and the formatio</w:t>
      </w:r>
      <w:r w:rsidR="001644D6">
        <w:rPr>
          <w:rFonts w:ascii="Times New Roman" w:hAnsi="Times New Roman" w:cs="Times New Roman"/>
          <w:sz w:val="24"/>
          <w:szCs w:val="24"/>
        </w:rPr>
        <w:t>n of predominant monetary worth (</w:t>
      </w:r>
      <w:r w:rsidR="001644D6">
        <w:rPr>
          <w:rFonts w:ascii="Times New Roman" w:hAnsi="Times New Roman" w:cs="Times New Roman"/>
          <w:color w:val="222222"/>
          <w:sz w:val="24"/>
          <w:szCs w:val="24"/>
          <w:shd w:val="clear" w:color="auto" w:fill="FFFFFF"/>
        </w:rPr>
        <w:t>Karadag, 2015).</w:t>
      </w:r>
      <w:r w:rsidRPr="00D12104">
        <w:rPr>
          <w:rFonts w:ascii="Times New Roman" w:hAnsi="Times New Roman" w:cs="Times New Roman"/>
          <w:sz w:val="24"/>
          <w:szCs w:val="24"/>
        </w:rPr>
        <w:t xml:space="preserve"> The RBV is a proficiency situated clarification of execution in that it clarifies the formation of monetary worth, yet not how this worth is appropriated by various</w:t>
      </w:r>
      <w:r w:rsidR="001644D6">
        <w:rPr>
          <w:rFonts w:ascii="Times New Roman" w:hAnsi="Times New Roman" w:cs="Times New Roman"/>
          <w:sz w:val="24"/>
          <w:szCs w:val="24"/>
        </w:rPr>
        <w:t xml:space="preserve"> financial on-screen characters (</w:t>
      </w:r>
      <w:r w:rsidR="001644D6">
        <w:rPr>
          <w:rFonts w:ascii="Times New Roman" w:hAnsi="Times New Roman" w:cs="Times New Roman"/>
          <w:color w:val="222222"/>
          <w:sz w:val="24"/>
          <w:szCs w:val="24"/>
          <w:shd w:val="clear" w:color="auto" w:fill="FFFFFF"/>
        </w:rPr>
        <w:t>Engert, Rauter &amp; Baumgartner, 2016).</w:t>
      </w:r>
      <w:r w:rsidRPr="00D12104">
        <w:rPr>
          <w:rFonts w:ascii="Times New Roman" w:hAnsi="Times New Roman" w:cs="Times New Roman"/>
          <w:sz w:val="24"/>
          <w:szCs w:val="24"/>
        </w:rPr>
        <w:t xml:space="preserve"> This stands rather than the point of view encapsulated in structures, for example, Porter's aggressive powers. Investigates depict firm execution as an issue of significant worth allotment, which is an impact of the haggling intensity of various financial entertainers. That is, the reliant variable (benefit) is dictated by how the firm is influenced by auxiliary industry </w:t>
      </w:r>
      <w:r w:rsidRPr="00D12104">
        <w:rPr>
          <w:rFonts w:ascii="Times New Roman" w:hAnsi="Times New Roman" w:cs="Times New Roman"/>
          <w:sz w:val="24"/>
          <w:szCs w:val="24"/>
        </w:rPr>
        <w:lastRenderedPageBreak/>
        <w:t xml:space="preserve">factors outside to the firm, for example, interior competition, purchaser and provider bartering force, substitutes and danger of passage.  </w:t>
      </w:r>
    </w:p>
    <w:p w14:paraId="53CAABAC" w14:textId="6839ABD4" w:rsidR="00D12104" w:rsidRPr="00D12104" w:rsidRDefault="00A0556C" w:rsidP="00D1210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644D6">
        <w:rPr>
          <w:rFonts w:ascii="Times New Roman" w:hAnsi="Times New Roman" w:cs="Times New Roman"/>
          <w:color w:val="222222"/>
          <w:sz w:val="24"/>
          <w:szCs w:val="24"/>
          <w:shd w:val="clear" w:color="auto" w:fill="FFFFFF"/>
        </w:rPr>
        <w:t xml:space="preserve">Engert, Rauter &amp; Baumgartner (2016) argued that </w:t>
      </w:r>
      <w:r w:rsidRPr="00D12104">
        <w:rPr>
          <w:rFonts w:ascii="Times New Roman" w:hAnsi="Times New Roman" w:cs="Times New Roman"/>
          <w:sz w:val="24"/>
          <w:szCs w:val="24"/>
        </w:rPr>
        <w:t>the RBV and the focused powers approach address esteem creation and worth apportionment, separately. The power of these two research standards in key administration has connected worth creation to the thought of firm assets and abilities, while esteem assignment has been rela</w:t>
      </w:r>
      <w:r w:rsidR="001644D6">
        <w:rPr>
          <w:rFonts w:ascii="Times New Roman" w:hAnsi="Times New Roman" w:cs="Times New Roman"/>
          <w:sz w:val="24"/>
          <w:szCs w:val="24"/>
        </w:rPr>
        <w:t>ted to basic industry factors (</w:t>
      </w:r>
      <w:r w:rsidR="001644D6">
        <w:rPr>
          <w:rFonts w:ascii="Times New Roman" w:hAnsi="Times New Roman" w:cs="Times New Roman"/>
          <w:color w:val="222222"/>
          <w:sz w:val="24"/>
          <w:szCs w:val="24"/>
          <w:shd w:val="clear" w:color="auto" w:fill="FFFFFF"/>
        </w:rPr>
        <w:t xml:space="preserve">Steiss, </w:t>
      </w:r>
      <w:r w:rsidR="001644D6" w:rsidRPr="001644D6">
        <w:rPr>
          <w:rFonts w:ascii="Times New Roman" w:hAnsi="Times New Roman" w:cs="Times New Roman"/>
          <w:color w:val="222222"/>
          <w:sz w:val="24"/>
          <w:szCs w:val="24"/>
          <w:shd w:val="clear" w:color="auto" w:fill="FFFFFF"/>
        </w:rPr>
        <w:t>2019).</w:t>
      </w:r>
      <w:r w:rsidRPr="00D12104">
        <w:rPr>
          <w:rFonts w:ascii="Times New Roman" w:hAnsi="Times New Roman" w:cs="Times New Roman"/>
          <w:sz w:val="24"/>
          <w:szCs w:val="24"/>
        </w:rPr>
        <w:t xml:space="preserve"> All in all, clarifications of firm execution bunch around the two explicit research positions plot above, which exhibits a hypothetical hole in standard key administration explore. It is possible for an association to continue with a cost activity framework and a partition technique at the same time anyway it does not</w:t>
      </w:r>
      <w:r w:rsidR="001644D6">
        <w:rPr>
          <w:rFonts w:ascii="Times New Roman" w:hAnsi="Times New Roman" w:cs="Times New Roman"/>
          <w:sz w:val="24"/>
          <w:szCs w:val="24"/>
        </w:rPr>
        <w:t xml:space="preserve"> work for everyone (</w:t>
      </w:r>
      <w:r w:rsidR="001644D6">
        <w:rPr>
          <w:rFonts w:ascii="Times New Roman" w:hAnsi="Times New Roman" w:cs="Times New Roman"/>
          <w:color w:val="222222"/>
          <w:sz w:val="24"/>
          <w:szCs w:val="24"/>
          <w:shd w:val="clear" w:color="auto" w:fill="FFFFFF"/>
        </w:rPr>
        <w:t>Karadag, 2015).</w:t>
      </w:r>
      <w:r w:rsidR="001644D6" w:rsidRPr="00D12104">
        <w:rPr>
          <w:rFonts w:ascii="Times New Roman" w:hAnsi="Times New Roman" w:cs="Times New Roman"/>
          <w:sz w:val="24"/>
          <w:szCs w:val="24"/>
        </w:rPr>
        <w:t xml:space="preserve"> </w:t>
      </w:r>
      <w:r w:rsidRPr="00D12104">
        <w:rPr>
          <w:rFonts w:ascii="Times New Roman" w:hAnsi="Times New Roman" w:cs="Times New Roman"/>
          <w:sz w:val="24"/>
          <w:szCs w:val="24"/>
        </w:rPr>
        <w:t xml:space="preserve">A couple of associations rather seek after the simplicity course by gaining ground toward efficiencies and economies of scale instead of focusing on isolating themselves from the adversaries in a way other than cost. </w:t>
      </w:r>
    </w:p>
    <w:p w14:paraId="1FADF515" w14:textId="0EEEBF2C" w:rsidR="00D12104" w:rsidRPr="00D12104" w:rsidRDefault="00A0556C" w:rsidP="00D1210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D12104">
        <w:rPr>
          <w:rFonts w:ascii="Times New Roman" w:hAnsi="Times New Roman" w:cs="Times New Roman"/>
          <w:sz w:val="24"/>
          <w:szCs w:val="24"/>
        </w:rPr>
        <w:t>A couple of associations like Toyota have truly joined both. An association lacking one of the forceful procedures is successfully left with no engaged bit of leeway. Organizations that join overall negligible exertion and extraordinary detachment system offer high bore and low costs which at last jumbles things following cost authority. Diversifying is in a situation because of</w:t>
      </w:r>
      <w:r w:rsidR="001644D6">
        <w:rPr>
          <w:rFonts w:ascii="Times New Roman" w:hAnsi="Times New Roman" w:cs="Times New Roman"/>
          <w:sz w:val="24"/>
          <w:szCs w:val="24"/>
        </w:rPr>
        <w:t xml:space="preserve"> their decrease in income (</w:t>
      </w:r>
      <w:r w:rsidR="001644D6">
        <w:rPr>
          <w:rFonts w:ascii="Times New Roman" w:hAnsi="Times New Roman" w:cs="Times New Roman"/>
          <w:color w:val="222222"/>
          <w:sz w:val="24"/>
          <w:szCs w:val="24"/>
          <w:shd w:val="clear" w:color="auto" w:fill="FFFFFF"/>
        </w:rPr>
        <w:t xml:space="preserve">Engert, Rauter &amp; Baumgartner, 2016). </w:t>
      </w:r>
      <w:r w:rsidRPr="00D12104">
        <w:rPr>
          <w:rFonts w:ascii="Times New Roman" w:hAnsi="Times New Roman" w:cs="Times New Roman"/>
          <w:sz w:val="24"/>
          <w:szCs w:val="24"/>
        </w:rPr>
        <w:t>Many are out searching for answers from the franchisers about obscure showcasing costs and phantom cash. Establishment proprietors like Cold stone ones are paying an excessive amount of cash for the it</w:t>
      </w:r>
      <w:r w:rsidR="001644D6">
        <w:rPr>
          <w:rFonts w:ascii="Times New Roman" w:hAnsi="Times New Roman" w:cs="Times New Roman"/>
          <w:sz w:val="24"/>
          <w:szCs w:val="24"/>
        </w:rPr>
        <w:t>em and making less consistently (</w:t>
      </w:r>
      <w:r w:rsidR="001644D6">
        <w:rPr>
          <w:rFonts w:ascii="Times New Roman" w:hAnsi="Times New Roman" w:cs="Times New Roman"/>
          <w:color w:val="222222"/>
          <w:sz w:val="24"/>
          <w:szCs w:val="24"/>
          <w:shd w:val="clear" w:color="auto" w:fill="FFFFFF"/>
        </w:rPr>
        <w:t>Karadag, 2015).</w:t>
      </w:r>
      <w:r w:rsidRPr="00D12104">
        <w:rPr>
          <w:rFonts w:ascii="Times New Roman" w:hAnsi="Times New Roman" w:cs="Times New Roman"/>
          <w:sz w:val="24"/>
          <w:szCs w:val="24"/>
        </w:rPr>
        <w:t xml:space="preserve"> Monetary weight has an extraordinary influence in this result particularly when franchisers do not adjust to more affordable items because of the people groups restricting of optional spending. An issue is that because of long understandings franchisees are </w:t>
      </w:r>
      <w:r w:rsidRPr="00D12104">
        <w:rPr>
          <w:rFonts w:ascii="Times New Roman" w:hAnsi="Times New Roman" w:cs="Times New Roman"/>
          <w:sz w:val="24"/>
          <w:szCs w:val="24"/>
        </w:rPr>
        <w:lastRenderedPageBreak/>
        <w:t>required to sign, many rules must be pursued which for the most part require intervention for a question to be fixed, in this way limiting individual claims. After a claim to Edible Arrangements, the executives brought the keen course into putting more in internet business and online life which are the most ideal ways into getting higher likelihood because of staying aware of shopper taste.</w:t>
      </w:r>
    </w:p>
    <w:p w14:paraId="38CF6CA3" w14:textId="77777777" w:rsidR="001644D6" w:rsidRDefault="00A0556C">
      <w:pPr>
        <w:rPr>
          <w:rFonts w:ascii="Times New Roman" w:hAnsi="Times New Roman" w:cs="Times New Roman"/>
          <w:sz w:val="24"/>
          <w:szCs w:val="24"/>
        </w:rPr>
      </w:pPr>
      <w:r>
        <w:rPr>
          <w:rFonts w:ascii="Times New Roman" w:hAnsi="Times New Roman" w:cs="Times New Roman"/>
          <w:sz w:val="24"/>
          <w:szCs w:val="24"/>
        </w:rPr>
        <w:br w:type="page"/>
      </w:r>
    </w:p>
    <w:p w14:paraId="7477BB04" w14:textId="3F22E59C" w:rsidR="005B3852" w:rsidRDefault="00A0556C" w:rsidP="001644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48C5E3A" w14:textId="77777777" w:rsidR="001644D6" w:rsidRPr="001644D6" w:rsidRDefault="00A0556C" w:rsidP="001644D6">
      <w:pPr>
        <w:spacing w:line="480" w:lineRule="auto"/>
        <w:jc w:val="both"/>
        <w:rPr>
          <w:rFonts w:ascii="Times New Roman" w:hAnsi="Times New Roman" w:cs="Times New Roman"/>
          <w:color w:val="222222"/>
          <w:sz w:val="24"/>
          <w:szCs w:val="24"/>
          <w:shd w:val="clear" w:color="auto" w:fill="FFFFFF"/>
        </w:rPr>
      </w:pPr>
      <w:r w:rsidRPr="001644D6">
        <w:rPr>
          <w:rFonts w:ascii="Times New Roman" w:hAnsi="Times New Roman" w:cs="Times New Roman"/>
          <w:color w:val="222222"/>
          <w:sz w:val="24"/>
          <w:szCs w:val="24"/>
          <w:shd w:val="clear" w:color="auto" w:fill="FFFFFF"/>
        </w:rPr>
        <w:t>Engert, S., Rauter, R., &amp; Baumgartner, R. J. (2016). Exploring the integration of corporate sustainability into strategic management: a literature review. </w:t>
      </w:r>
      <w:r w:rsidRPr="001644D6">
        <w:rPr>
          <w:rFonts w:ascii="Times New Roman" w:hAnsi="Times New Roman" w:cs="Times New Roman"/>
          <w:i/>
          <w:iCs/>
          <w:color w:val="222222"/>
          <w:sz w:val="24"/>
          <w:szCs w:val="24"/>
          <w:shd w:val="clear" w:color="auto" w:fill="FFFFFF"/>
        </w:rPr>
        <w:t>Journal of cleaner</w:t>
      </w:r>
      <w:r>
        <w:rPr>
          <w:rFonts w:ascii="Times New Roman" w:hAnsi="Times New Roman" w:cs="Times New Roman"/>
          <w:i/>
          <w:iCs/>
          <w:color w:val="222222"/>
          <w:sz w:val="24"/>
          <w:szCs w:val="24"/>
          <w:shd w:val="clear" w:color="auto" w:fill="FFFFFF"/>
        </w:rPr>
        <w:tab/>
      </w:r>
      <w:r w:rsidRPr="001644D6">
        <w:rPr>
          <w:rFonts w:ascii="Times New Roman" w:hAnsi="Times New Roman" w:cs="Times New Roman"/>
          <w:i/>
          <w:iCs/>
          <w:color w:val="222222"/>
          <w:sz w:val="24"/>
          <w:szCs w:val="24"/>
          <w:shd w:val="clear" w:color="auto" w:fill="FFFFFF"/>
        </w:rPr>
        <w:t>production</w:t>
      </w:r>
      <w:r w:rsidRPr="001644D6">
        <w:rPr>
          <w:rFonts w:ascii="Times New Roman" w:hAnsi="Times New Roman" w:cs="Times New Roman"/>
          <w:color w:val="222222"/>
          <w:sz w:val="24"/>
          <w:szCs w:val="24"/>
          <w:shd w:val="clear" w:color="auto" w:fill="FFFFFF"/>
        </w:rPr>
        <w:t>, </w:t>
      </w:r>
      <w:r w:rsidRPr="001644D6">
        <w:rPr>
          <w:rFonts w:ascii="Times New Roman" w:hAnsi="Times New Roman" w:cs="Times New Roman"/>
          <w:i/>
          <w:iCs/>
          <w:color w:val="222222"/>
          <w:sz w:val="24"/>
          <w:szCs w:val="24"/>
          <w:shd w:val="clear" w:color="auto" w:fill="FFFFFF"/>
        </w:rPr>
        <w:t>112</w:t>
      </w:r>
      <w:r w:rsidRPr="001644D6">
        <w:rPr>
          <w:rFonts w:ascii="Times New Roman" w:hAnsi="Times New Roman" w:cs="Times New Roman"/>
          <w:color w:val="222222"/>
          <w:sz w:val="24"/>
          <w:szCs w:val="24"/>
          <w:shd w:val="clear" w:color="auto" w:fill="FFFFFF"/>
        </w:rPr>
        <w:t>, 2833-2850.</w:t>
      </w:r>
    </w:p>
    <w:p w14:paraId="18077F62" w14:textId="77777777" w:rsidR="001644D6" w:rsidRPr="001644D6" w:rsidRDefault="00A0556C" w:rsidP="001644D6">
      <w:pPr>
        <w:spacing w:line="480" w:lineRule="auto"/>
        <w:jc w:val="both"/>
        <w:rPr>
          <w:rFonts w:ascii="Times New Roman" w:hAnsi="Times New Roman" w:cs="Times New Roman"/>
          <w:color w:val="222222"/>
          <w:sz w:val="24"/>
          <w:szCs w:val="24"/>
          <w:shd w:val="clear" w:color="auto" w:fill="FFFFFF"/>
        </w:rPr>
      </w:pPr>
      <w:r w:rsidRPr="001644D6">
        <w:rPr>
          <w:rFonts w:ascii="Times New Roman" w:hAnsi="Times New Roman" w:cs="Times New Roman"/>
          <w:color w:val="222222"/>
          <w:sz w:val="24"/>
          <w:szCs w:val="24"/>
          <w:shd w:val="clear" w:color="auto" w:fill="FFFFFF"/>
        </w:rPr>
        <w:t xml:space="preserve">Karadag, H. (2015). Financial management challenges in small and medium-sized enterprises: A </w:t>
      </w:r>
      <w:r>
        <w:rPr>
          <w:rFonts w:ascii="Times New Roman" w:hAnsi="Times New Roman" w:cs="Times New Roman"/>
          <w:color w:val="222222"/>
          <w:sz w:val="24"/>
          <w:szCs w:val="24"/>
          <w:shd w:val="clear" w:color="auto" w:fill="FFFFFF"/>
        </w:rPr>
        <w:tab/>
      </w:r>
      <w:r w:rsidRPr="001644D6">
        <w:rPr>
          <w:rFonts w:ascii="Times New Roman" w:hAnsi="Times New Roman" w:cs="Times New Roman"/>
          <w:color w:val="222222"/>
          <w:sz w:val="24"/>
          <w:szCs w:val="24"/>
          <w:shd w:val="clear" w:color="auto" w:fill="FFFFFF"/>
        </w:rPr>
        <w:t>strategic management approach. </w:t>
      </w:r>
      <w:r w:rsidRPr="001644D6">
        <w:rPr>
          <w:rFonts w:ascii="Times New Roman" w:hAnsi="Times New Roman" w:cs="Times New Roman"/>
          <w:i/>
          <w:iCs/>
          <w:color w:val="222222"/>
          <w:sz w:val="24"/>
          <w:szCs w:val="24"/>
          <w:shd w:val="clear" w:color="auto" w:fill="FFFFFF"/>
        </w:rPr>
        <w:t>EMAJ: Emerging Markets Journal</w:t>
      </w:r>
      <w:r w:rsidRPr="001644D6">
        <w:rPr>
          <w:rFonts w:ascii="Times New Roman" w:hAnsi="Times New Roman" w:cs="Times New Roman"/>
          <w:color w:val="222222"/>
          <w:sz w:val="24"/>
          <w:szCs w:val="24"/>
          <w:shd w:val="clear" w:color="auto" w:fill="FFFFFF"/>
        </w:rPr>
        <w:t>, </w:t>
      </w:r>
      <w:r w:rsidRPr="001644D6">
        <w:rPr>
          <w:rFonts w:ascii="Times New Roman" w:hAnsi="Times New Roman" w:cs="Times New Roman"/>
          <w:i/>
          <w:iCs/>
          <w:color w:val="222222"/>
          <w:sz w:val="24"/>
          <w:szCs w:val="24"/>
          <w:shd w:val="clear" w:color="auto" w:fill="FFFFFF"/>
        </w:rPr>
        <w:t>5</w:t>
      </w:r>
      <w:r w:rsidRPr="001644D6">
        <w:rPr>
          <w:rFonts w:ascii="Times New Roman" w:hAnsi="Times New Roman" w:cs="Times New Roman"/>
          <w:color w:val="222222"/>
          <w:sz w:val="24"/>
          <w:szCs w:val="24"/>
          <w:shd w:val="clear" w:color="auto" w:fill="FFFFFF"/>
        </w:rPr>
        <w:t>(1), 26-40.</w:t>
      </w:r>
    </w:p>
    <w:p w14:paraId="72AEA1CC" w14:textId="77777777" w:rsidR="001644D6" w:rsidRPr="001644D6" w:rsidRDefault="00A0556C" w:rsidP="001644D6">
      <w:pPr>
        <w:spacing w:line="480" w:lineRule="auto"/>
        <w:jc w:val="both"/>
        <w:rPr>
          <w:rFonts w:ascii="Times New Roman" w:hAnsi="Times New Roman" w:cs="Times New Roman"/>
          <w:sz w:val="24"/>
          <w:szCs w:val="24"/>
        </w:rPr>
      </w:pPr>
      <w:r w:rsidRPr="001644D6">
        <w:rPr>
          <w:rFonts w:ascii="Times New Roman" w:hAnsi="Times New Roman" w:cs="Times New Roman"/>
          <w:color w:val="222222"/>
          <w:sz w:val="24"/>
          <w:szCs w:val="24"/>
          <w:shd w:val="clear" w:color="auto" w:fill="FFFFFF"/>
        </w:rPr>
        <w:t>Rugman, A. M., &amp; Verbeke, A. (2017). </w:t>
      </w:r>
      <w:r w:rsidRPr="001644D6">
        <w:rPr>
          <w:rFonts w:ascii="Times New Roman" w:hAnsi="Times New Roman" w:cs="Times New Roman"/>
          <w:i/>
          <w:iCs/>
          <w:color w:val="222222"/>
          <w:sz w:val="24"/>
          <w:szCs w:val="24"/>
          <w:shd w:val="clear" w:color="auto" w:fill="FFFFFF"/>
        </w:rPr>
        <w:t>Global corporate strategy and trade policy</w:t>
      </w:r>
      <w:r w:rsidRPr="001644D6">
        <w:rPr>
          <w:rFonts w:ascii="Times New Roman" w:hAnsi="Times New Roman" w:cs="Times New Roman"/>
          <w:color w:val="222222"/>
          <w:sz w:val="24"/>
          <w:szCs w:val="24"/>
          <w:shd w:val="clear" w:color="auto" w:fill="FFFFFF"/>
        </w:rPr>
        <w:t>. Routledge.</w:t>
      </w:r>
    </w:p>
    <w:p w14:paraId="30820F17" w14:textId="77777777" w:rsidR="001644D6" w:rsidRPr="001644D6" w:rsidRDefault="00A0556C" w:rsidP="001644D6">
      <w:pPr>
        <w:spacing w:line="480" w:lineRule="auto"/>
        <w:jc w:val="both"/>
        <w:rPr>
          <w:rFonts w:ascii="Times New Roman" w:hAnsi="Times New Roman" w:cs="Times New Roman"/>
          <w:color w:val="222222"/>
          <w:sz w:val="24"/>
          <w:szCs w:val="24"/>
          <w:shd w:val="clear" w:color="auto" w:fill="FFFFFF"/>
        </w:rPr>
      </w:pPr>
      <w:r w:rsidRPr="001644D6">
        <w:rPr>
          <w:rFonts w:ascii="Times New Roman" w:hAnsi="Times New Roman" w:cs="Times New Roman"/>
          <w:color w:val="222222"/>
          <w:sz w:val="24"/>
          <w:szCs w:val="24"/>
          <w:shd w:val="clear" w:color="auto" w:fill="FFFFFF"/>
        </w:rPr>
        <w:t>Steiss, A. W. (2019). </w:t>
      </w:r>
      <w:r w:rsidRPr="001644D6">
        <w:rPr>
          <w:rFonts w:ascii="Times New Roman" w:hAnsi="Times New Roman" w:cs="Times New Roman"/>
          <w:i/>
          <w:iCs/>
          <w:color w:val="222222"/>
          <w:sz w:val="24"/>
          <w:szCs w:val="24"/>
          <w:shd w:val="clear" w:color="auto" w:fill="FFFFFF"/>
        </w:rPr>
        <w:t>Strategic management for public and nonprofit organizations</w:t>
      </w:r>
      <w:r w:rsidRPr="001644D6">
        <w:rPr>
          <w:rFonts w:ascii="Times New Roman" w:hAnsi="Times New Roman" w:cs="Times New Roman"/>
          <w:color w:val="222222"/>
          <w:sz w:val="24"/>
          <w:szCs w:val="24"/>
          <w:shd w:val="clear" w:color="auto" w:fill="FFFFFF"/>
        </w:rPr>
        <w:t>. Routledge.</w:t>
      </w:r>
    </w:p>
    <w:p w14:paraId="5FC777CD" w14:textId="77777777" w:rsidR="00EA29CA" w:rsidRPr="00D12104" w:rsidRDefault="00EA29CA" w:rsidP="00D12104">
      <w:pPr>
        <w:spacing w:line="480" w:lineRule="auto"/>
        <w:jc w:val="both"/>
        <w:rPr>
          <w:rFonts w:ascii="Times New Roman" w:hAnsi="Times New Roman" w:cs="Times New Roman"/>
          <w:sz w:val="24"/>
          <w:szCs w:val="24"/>
        </w:rPr>
      </w:pPr>
    </w:p>
    <w:sectPr w:rsidR="00EA29CA" w:rsidRPr="00D12104" w:rsidSect="00D121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691CDB" w14:textId="77777777" w:rsidR="007B1DE8" w:rsidRDefault="007B1DE8">
      <w:pPr>
        <w:spacing w:after="0" w:line="240" w:lineRule="auto"/>
      </w:pPr>
      <w:r>
        <w:separator/>
      </w:r>
    </w:p>
  </w:endnote>
  <w:endnote w:type="continuationSeparator" w:id="0">
    <w:p w14:paraId="2FB98141" w14:textId="77777777" w:rsidR="007B1DE8" w:rsidRDefault="007B1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6897C" w14:textId="77777777" w:rsidR="007B1DE8" w:rsidRDefault="007B1DE8">
      <w:pPr>
        <w:spacing w:after="0" w:line="240" w:lineRule="auto"/>
      </w:pPr>
      <w:r>
        <w:separator/>
      </w:r>
    </w:p>
  </w:footnote>
  <w:footnote w:type="continuationSeparator" w:id="0">
    <w:p w14:paraId="569D627F" w14:textId="77777777" w:rsidR="007B1DE8" w:rsidRDefault="007B1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9FC3D" w14:textId="2A74DE70" w:rsidR="0098206D" w:rsidRPr="0098206D" w:rsidRDefault="00A0556C" w:rsidP="0098206D">
    <w:pPr>
      <w:pStyle w:val="Header"/>
      <w:spacing w:line="480" w:lineRule="auto"/>
      <w:rPr>
        <w:rFonts w:ascii="Times New Roman" w:hAnsi="Times New Roman" w:cs="Times New Roman"/>
        <w:sz w:val="24"/>
        <w:szCs w:val="24"/>
      </w:rPr>
    </w:pPr>
    <w:r w:rsidRPr="0098206D">
      <w:rPr>
        <w:rFonts w:ascii="Times New Roman" w:hAnsi="Times New Roman" w:cs="Times New Roman"/>
        <w:sz w:val="24"/>
        <w:szCs w:val="24"/>
      </w:rPr>
      <w:t xml:space="preserve">STRATEGIC MANAGEMENT AND BUSINESS POLICIES </w:t>
    </w:r>
    <w:r w:rsidRPr="0098206D">
      <w:rPr>
        <w:rFonts w:ascii="Times New Roman" w:hAnsi="Times New Roman" w:cs="Times New Roman"/>
        <w:sz w:val="24"/>
        <w:szCs w:val="24"/>
      </w:rPr>
      <w:tab/>
    </w:r>
    <w:r w:rsidRPr="0098206D">
      <w:rPr>
        <w:rFonts w:ascii="Times New Roman" w:hAnsi="Times New Roman" w:cs="Times New Roman"/>
        <w:sz w:val="24"/>
        <w:szCs w:val="24"/>
      </w:rPr>
      <w:tab/>
      <w:t xml:space="preserve"> </w:t>
    </w:r>
    <w:sdt>
      <w:sdtPr>
        <w:rPr>
          <w:rFonts w:ascii="Times New Roman" w:hAnsi="Times New Roman" w:cs="Times New Roman"/>
          <w:sz w:val="24"/>
          <w:szCs w:val="24"/>
        </w:rPr>
        <w:id w:val="-1077437538"/>
        <w:docPartObj>
          <w:docPartGallery w:val="Page Numbers (Top of Page)"/>
          <w:docPartUnique/>
        </w:docPartObj>
      </w:sdtPr>
      <w:sdtEndPr>
        <w:rPr>
          <w:noProof/>
        </w:rPr>
      </w:sdtEndPr>
      <w:sdtContent>
        <w:r w:rsidRPr="0098206D">
          <w:rPr>
            <w:rFonts w:ascii="Times New Roman" w:hAnsi="Times New Roman" w:cs="Times New Roman"/>
            <w:sz w:val="24"/>
            <w:szCs w:val="24"/>
          </w:rPr>
          <w:fldChar w:fldCharType="begin"/>
        </w:r>
        <w:r w:rsidRPr="0098206D">
          <w:rPr>
            <w:rFonts w:ascii="Times New Roman" w:hAnsi="Times New Roman" w:cs="Times New Roman"/>
            <w:sz w:val="24"/>
            <w:szCs w:val="24"/>
          </w:rPr>
          <w:instrText xml:space="preserve"> PAGE   \* MERGEFORMAT </w:instrText>
        </w:r>
        <w:r w:rsidRPr="0098206D">
          <w:rPr>
            <w:rFonts w:ascii="Times New Roman" w:hAnsi="Times New Roman" w:cs="Times New Roman"/>
            <w:sz w:val="24"/>
            <w:szCs w:val="24"/>
          </w:rPr>
          <w:fldChar w:fldCharType="separate"/>
        </w:r>
        <w:r w:rsidR="009309E3">
          <w:rPr>
            <w:rFonts w:ascii="Times New Roman" w:hAnsi="Times New Roman" w:cs="Times New Roman"/>
            <w:noProof/>
            <w:sz w:val="24"/>
            <w:szCs w:val="24"/>
          </w:rPr>
          <w:t>5</w:t>
        </w:r>
        <w:r w:rsidRPr="0098206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60BE6" w14:textId="2A129C68" w:rsidR="00D12104" w:rsidRPr="0098206D" w:rsidRDefault="00A0556C" w:rsidP="0098206D">
    <w:pPr>
      <w:pStyle w:val="Header"/>
      <w:spacing w:line="480" w:lineRule="auto"/>
      <w:rPr>
        <w:rFonts w:ascii="Times New Roman" w:hAnsi="Times New Roman" w:cs="Times New Roman"/>
        <w:sz w:val="24"/>
        <w:szCs w:val="24"/>
      </w:rPr>
    </w:pPr>
    <w:r w:rsidRPr="0098206D">
      <w:rPr>
        <w:rFonts w:ascii="Times New Roman" w:hAnsi="Times New Roman" w:cs="Times New Roman"/>
        <w:sz w:val="24"/>
        <w:szCs w:val="24"/>
      </w:rPr>
      <w:t>Runnin</w:t>
    </w:r>
    <w:r w:rsidR="0098206D" w:rsidRPr="0098206D">
      <w:rPr>
        <w:rFonts w:ascii="Times New Roman" w:hAnsi="Times New Roman" w:cs="Times New Roman"/>
        <w:sz w:val="24"/>
        <w:szCs w:val="24"/>
      </w:rPr>
      <w:t>g</w:t>
    </w:r>
    <w:r w:rsidRPr="0098206D">
      <w:rPr>
        <w:rFonts w:ascii="Times New Roman" w:hAnsi="Times New Roman" w:cs="Times New Roman"/>
        <w:sz w:val="24"/>
        <w:szCs w:val="24"/>
      </w:rPr>
      <w:t xml:space="preserve"> head:</w:t>
    </w:r>
    <w:r w:rsidR="0098206D" w:rsidRPr="0098206D">
      <w:rPr>
        <w:rFonts w:ascii="Times New Roman" w:hAnsi="Times New Roman" w:cs="Times New Roman"/>
        <w:sz w:val="24"/>
        <w:szCs w:val="24"/>
      </w:rPr>
      <w:t xml:space="preserve"> STRATEGIC MANAGEMENT AND BUSINESS POLICIES </w:t>
    </w:r>
    <w:r w:rsidR="0098206D" w:rsidRPr="0098206D">
      <w:rPr>
        <w:rFonts w:ascii="Times New Roman" w:hAnsi="Times New Roman" w:cs="Times New Roman"/>
        <w:sz w:val="24"/>
        <w:szCs w:val="24"/>
      </w:rPr>
      <w:tab/>
    </w:r>
    <w:r w:rsidR="0098206D" w:rsidRPr="0098206D">
      <w:rPr>
        <w:rFonts w:ascii="Times New Roman" w:hAnsi="Times New Roman" w:cs="Times New Roman"/>
        <w:sz w:val="24"/>
        <w:szCs w:val="24"/>
      </w:rPr>
      <w:tab/>
    </w:r>
    <w:r w:rsidRPr="0098206D">
      <w:rPr>
        <w:rFonts w:ascii="Times New Roman" w:hAnsi="Times New Roman" w:cs="Times New Roman"/>
        <w:sz w:val="24"/>
        <w:szCs w:val="24"/>
      </w:rPr>
      <w:t xml:space="preserve"> </w:t>
    </w:r>
    <w:sdt>
      <w:sdtPr>
        <w:rPr>
          <w:rFonts w:ascii="Times New Roman" w:hAnsi="Times New Roman" w:cs="Times New Roman"/>
          <w:sz w:val="24"/>
          <w:szCs w:val="24"/>
        </w:rPr>
        <w:id w:val="1557581999"/>
        <w:docPartObj>
          <w:docPartGallery w:val="Page Numbers (Top of Page)"/>
          <w:docPartUnique/>
        </w:docPartObj>
      </w:sdtPr>
      <w:sdtEndPr>
        <w:rPr>
          <w:noProof/>
        </w:rPr>
      </w:sdtEndPr>
      <w:sdtContent>
        <w:r w:rsidRPr="0098206D">
          <w:rPr>
            <w:rFonts w:ascii="Times New Roman" w:hAnsi="Times New Roman" w:cs="Times New Roman"/>
            <w:sz w:val="24"/>
            <w:szCs w:val="24"/>
          </w:rPr>
          <w:fldChar w:fldCharType="begin"/>
        </w:r>
        <w:r w:rsidRPr="0098206D">
          <w:rPr>
            <w:rFonts w:ascii="Times New Roman" w:hAnsi="Times New Roman" w:cs="Times New Roman"/>
            <w:sz w:val="24"/>
            <w:szCs w:val="24"/>
          </w:rPr>
          <w:instrText xml:space="preserve"> PAGE   \* MERGEFORMAT </w:instrText>
        </w:r>
        <w:r w:rsidRPr="0098206D">
          <w:rPr>
            <w:rFonts w:ascii="Times New Roman" w:hAnsi="Times New Roman" w:cs="Times New Roman"/>
            <w:sz w:val="24"/>
            <w:szCs w:val="24"/>
          </w:rPr>
          <w:fldChar w:fldCharType="separate"/>
        </w:r>
        <w:r w:rsidR="009309E3">
          <w:rPr>
            <w:rFonts w:ascii="Times New Roman" w:hAnsi="Times New Roman" w:cs="Times New Roman"/>
            <w:noProof/>
            <w:sz w:val="24"/>
            <w:szCs w:val="24"/>
          </w:rPr>
          <w:t>1</w:t>
        </w:r>
        <w:r w:rsidRPr="0098206D">
          <w:rPr>
            <w:rFonts w:ascii="Times New Roman" w:hAnsi="Times New Roman" w:cs="Times New Roman"/>
            <w:noProof/>
            <w:sz w:val="24"/>
            <w:szCs w:val="24"/>
          </w:rPr>
          <w:fldChar w:fldCharType="end"/>
        </w:r>
      </w:sdtContent>
    </w:sdt>
  </w:p>
  <w:p w14:paraId="08ACD7FE" w14:textId="77777777" w:rsidR="00D12104" w:rsidRDefault="00D1210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74D7B"/>
    <w:multiLevelType w:val="multilevel"/>
    <w:tmpl w:val="41C0E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BC4535"/>
    <w:multiLevelType w:val="multilevel"/>
    <w:tmpl w:val="AD9E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CD3496"/>
    <w:multiLevelType w:val="multilevel"/>
    <w:tmpl w:val="1DE42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3A038D"/>
    <w:multiLevelType w:val="hybridMultilevel"/>
    <w:tmpl w:val="60D0777E"/>
    <w:lvl w:ilvl="0" w:tplc="86A611A6">
      <w:start w:val="1"/>
      <w:numFmt w:val="bullet"/>
      <w:lvlText w:val=""/>
      <w:lvlJc w:val="left"/>
      <w:pPr>
        <w:ind w:left="720" w:hanging="360"/>
      </w:pPr>
      <w:rPr>
        <w:rFonts w:ascii="Symbol" w:hAnsi="Symbol" w:hint="default"/>
      </w:rPr>
    </w:lvl>
    <w:lvl w:ilvl="1" w:tplc="5D285364" w:tentative="1">
      <w:start w:val="1"/>
      <w:numFmt w:val="bullet"/>
      <w:lvlText w:val="o"/>
      <w:lvlJc w:val="left"/>
      <w:pPr>
        <w:ind w:left="1440" w:hanging="360"/>
      </w:pPr>
      <w:rPr>
        <w:rFonts w:ascii="Courier New" w:hAnsi="Courier New" w:cs="Courier New" w:hint="default"/>
      </w:rPr>
    </w:lvl>
    <w:lvl w:ilvl="2" w:tplc="7A44222E" w:tentative="1">
      <w:start w:val="1"/>
      <w:numFmt w:val="bullet"/>
      <w:lvlText w:val=""/>
      <w:lvlJc w:val="left"/>
      <w:pPr>
        <w:ind w:left="2160" w:hanging="360"/>
      </w:pPr>
      <w:rPr>
        <w:rFonts w:ascii="Wingdings" w:hAnsi="Wingdings" w:hint="default"/>
      </w:rPr>
    </w:lvl>
    <w:lvl w:ilvl="3" w:tplc="88AE1FDC" w:tentative="1">
      <w:start w:val="1"/>
      <w:numFmt w:val="bullet"/>
      <w:lvlText w:val=""/>
      <w:lvlJc w:val="left"/>
      <w:pPr>
        <w:ind w:left="2880" w:hanging="360"/>
      </w:pPr>
      <w:rPr>
        <w:rFonts w:ascii="Symbol" w:hAnsi="Symbol" w:hint="default"/>
      </w:rPr>
    </w:lvl>
    <w:lvl w:ilvl="4" w:tplc="C12E95DC" w:tentative="1">
      <w:start w:val="1"/>
      <w:numFmt w:val="bullet"/>
      <w:lvlText w:val="o"/>
      <w:lvlJc w:val="left"/>
      <w:pPr>
        <w:ind w:left="3600" w:hanging="360"/>
      </w:pPr>
      <w:rPr>
        <w:rFonts w:ascii="Courier New" w:hAnsi="Courier New" w:cs="Courier New" w:hint="default"/>
      </w:rPr>
    </w:lvl>
    <w:lvl w:ilvl="5" w:tplc="81AC21D6" w:tentative="1">
      <w:start w:val="1"/>
      <w:numFmt w:val="bullet"/>
      <w:lvlText w:val=""/>
      <w:lvlJc w:val="left"/>
      <w:pPr>
        <w:ind w:left="4320" w:hanging="360"/>
      </w:pPr>
      <w:rPr>
        <w:rFonts w:ascii="Wingdings" w:hAnsi="Wingdings" w:hint="default"/>
      </w:rPr>
    </w:lvl>
    <w:lvl w:ilvl="6" w:tplc="906601AC" w:tentative="1">
      <w:start w:val="1"/>
      <w:numFmt w:val="bullet"/>
      <w:lvlText w:val=""/>
      <w:lvlJc w:val="left"/>
      <w:pPr>
        <w:ind w:left="5040" w:hanging="360"/>
      </w:pPr>
      <w:rPr>
        <w:rFonts w:ascii="Symbol" w:hAnsi="Symbol" w:hint="default"/>
      </w:rPr>
    </w:lvl>
    <w:lvl w:ilvl="7" w:tplc="932CAA96" w:tentative="1">
      <w:start w:val="1"/>
      <w:numFmt w:val="bullet"/>
      <w:lvlText w:val="o"/>
      <w:lvlJc w:val="left"/>
      <w:pPr>
        <w:ind w:left="5760" w:hanging="360"/>
      </w:pPr>
      <w:rPr>
        <w:rFonts w:ascii="Courier New" w:hAnsi="Courier New" w:cs="Courier New" w:hint="default"/>
      </w:rPr>
    </w:lvl>
    <w:lvl w:ilvl="8" w:tplc="AEAA5F96" w:tentative="1">
      <w:start w:val="1"/>
      <w:numFmt w:val="bullet"/>
      <w:lvlText w:val=""/>
      <w:lvlJc w:val="left"/>
      <w:pPr>
        <w:ind w:left="6480" w:hanging="360"/>
      </w:pPr>
      <w:rPr>
        <w:rFonts w:ascii="Wingdings" w:hAnsi="Wingdings" w:hint="default"/>
      </w:rPr>
    </w:lvl>
  </w:abstractNum>
  <w:abstractNum w:abstractNumId="4" w15:restartNumberingAfterBreak="0">
    <w:nsid w:val="395D66FF"/>
    <w:multiLevelType w:val="multilevel"/>
    <w:tmpl w:val="FE128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314D94"/>
    <w:multiLevelType w:val="multilevel"/>
    <w:tmpl w:val="BB6E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FB1A34"/>
    <w:multiLevelType w:val="hybridMultilevel"/>
    <w:tmpl w:val="D018C94A"/>
    <w:lvl w:ilvl="0" w:tplc="99D03B0C">
      <w:start w:val="1"/>
      <w:numFmt w:val="bullet"/>
      <w:lvlText w:val=""/>
      <w:lvlJc w:val="left"/>
      <w:pPr>
        <w:ind w:left="720" w:hanging="360"/>
      </w:pPr>
      <w:rPr>
        <w:rFonts w:ascii="Symbol" w:hAnsi="Symbol" w:hint="default"/>
      </w:rPr>
    </w:lvl>
    <w:lvl w:ilvl="1" w:tplc="A78079DC" w:tentative="1">
      <w:start w:val="1"/>
      <w:numFmt w:val="bullet"/>
      <w:lvlText w:val="o"/>
      <w:lvlJc w:val="left"/>
      <w:pPr>
        <w:ind w:left="1440" w:hanging="360"/>
      </w:pPr>
      <w:rPr>
        <w:rFonts w:ascii="Courier New" w:hAnsi="Courier New" w:cs="Courier New" w:hint="default"/>
      </w:rPr>
    </w:lvl>
    <w:lvl w:ilvl="2" w:tplc="83E8BB46" w:tentative="1">
      <w:start w:val="1"/>
      <w:numFmt w:val="bullet"/>
      <w:lvlText w:val=""/>
      <w:lvlJc w:val="left"/>
      <w:pPr>
        <w:ind w:left="2160" w:hanging="360"/>
      </w:pPr>
      <w:rPr>
        <w:rFonts w:ascii="Wingdings" w:hAnsi="Wingdings" w:hint="default"/>
      </w:rPr>
    </w:lvl>
    <w:lvl w:ilvl="3" w:tplc="F71C73B0" w:tentative="1">
      <w:start w:val="1"/>
      <w:numFmt w:val="bullet"/>
      <w:lvlText w:val=""/>
      <w:lvlJc w:val="left"/>
      <w:pPr>
        <w:ind w:left="2880" w:hanging="360"/>
      </w:pPr>
      <w:rPr>
        <w:rFonts w:ascii="Symbol" w:hAnsi="Symbol" w:hint="default"/>
      </w:rPr>
    </w:lvl>
    <w:lvl w:ilvl="4" w:tplc="CAA0FA00" w:tentative="1">
      <w:start w:val="1"/>
      <w:numFmt w:val="bullet"/>
      <w:lvlText w:val="o"/>
      <w:lvlJc w:val="left"/>
      <w:pPr>
        <w:ind w:left="3600" w:hanging="360"/>
      </w:pPr>
      <w:rPr>
        <w:rFonts w:ascii="Courier New" w:hAnsi="Courier New" w:cs="Courier New" w:hint="default"/>
      </w:rPr>
    </w:lvl>
    <w:lvl w:ilvl="5" w:tplc="8DBE283C" w:tentative="1">
      <w:start w:val="1"/>
      <w:numFmt w:val="bullet"/>
      <w:lvlText w:val=""/>
      <w:lvlJc w:val="left"/>
      <w:pPr>
        <w:ind w:left="4320" w:hanging="360"/>
      </w:pPr>
      <w:rPr>
        <w:rFonts w:ascii="Wingdings" w:hAnsi="Wingdings" w:hint="default"/>
      </w:rPr>
    </w:lvl>
    <w:lvl w:ilvl="6" w:tplc="0C126E32" w:tentative="1">
      <w:start w:val="1"/>
      <w:numFmt w:val="bullet"/>
      <w:lvlText w:val=""/>
      <w:lvlJc w:val="left"/>
      <w:pPr>
        <w:ind w:left="5040" w:hanging="360"/>
      </w:pPr>
      <w:rPr>
        <w:rFonts w:ascii="Symbol" w:hAnsi="Symbol" w:hint="default"/>
      </w:rPr>
    </w:lvl>
    <w:lvl w:ilvl="7" w:tplc="14D470B8" w:tentative="1">
      <w:start w:val="1"/>
      <w:numFmt w:val="bullet"/>
      <w:lvlText w:val="o"/>
      <w:lvlJc w:val="left"/>
      <w:pPr>
        <w:ind w:left="5760" w:hanging="360"/>
      </w:pPr>
      <w:rPr>
        <w:rFonts w:ascii="Courier New" w:hAnsi="Courier New" w:cs="Courier New" w:hint="default"/>
      </w:rPr>
    </w:lvl>
    <w:lvl w:ilvl="8" w:tplc="A2D2DAF8" w:tentative="1">
      <w:start w:val="1"/>
      <w:numFmt w:val="bullet"/>
      <w:lvlText w:val=""/>
      <w:lvlJc w:val="left"/>
      <w:pPr>
        <w:ind w:left="6480" w:hanging="360"/>
      </w:pPr>
      <w:rPr>
        <w:rFonts w:ascii="Wingdings" w:hAnsi="Wingdings" w:hint="default"/>
      </w:rPr>
    </w:lvl>
  </w:abstractNum>
  <w:abstractNum w:abstractNumId="7" w15:restartNumberingAfterBreak="0">
    <w:nsid w:val="6DA943C3"/>
    <w:multiLevelType w:val="multilevel"/>
    <w:tmpl w:val="9A82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BD79E3"/>
    <w:multiLevelType w:val="multilevel"/>
    <w:tmpl w:val="A8207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AC40FB"/>
    <w:multiLevelType w:val="hybridMultilevel"/>
    <w:tmpl w:val="7ED67CC2"/>
    <w:lvl w:ilvl="0" w:tplc="55146190">
      <w:start w:val="1"/>
      <w:numFmt w:val="bullet"/>
      <w:lvlText w:val=""/>
      <w:lvlJc w:val="left"/>
      <w:pPr>
        <w:ind w:left="720" w:hanging="360"/>
      </w:pPr>
      <w:rPr>
        <w:rFonts w:ascii="Symbol" w:hAnsi="Symbol" w:hint="default"/>
      </w:rPr>
    </w:lvl>
    <w:lvl w:ilvl="1" w:tplc="54FC9D52" w:tentative="1">
      <w:start w:val="1"/>
      <w:numFmt w:val="bullet"/>
      <w:lvlText w:val="o"/>
      <w:lvlJc w:val="left"/>
      <w:pPr>
        <w:ind w:left="1440" w:hanging="360"/>
      </w:pPr>
      <w:rPr>
        <w:rFonts w:ascii="Courier New" w:hAnsi="Courier New" w:cs="Courier New" w:hint="default"/>
      </w:rPr>
    </w:lvl>
    <w:lvl w:ilvl="2" w:tplc="F1D28D46" w:tentative="1">
      <w:start w:val="1"/>
      <w:numFmt w:val="bullet"/>
      <w:lvlText w:val=""/>
      <w:lvlJc w:val="left"/>
      <w:pPr>
        <w:ind w:left="2160" w:hanging="360"/>
      </w:pPr>
      <w:rPr>
        <w:rFonts w:ascii="Wingdings" w:hAnsi="Wingdings" w:hint="default"/>
      </w:rPr>
    </w:lvl>
    <w:lvl w:ilvl="3" w:tplc="16F03EA4" w:tentative="1">
      <w:start w:val="1"/>
      <w:numFmt w:val="bullet"/>
      <w:lvlText w:val=""/>
      <w:lvlJc w:val="left"/>
      <w:pPr>
        <w:ind w:left="2880" w:hanging="360"/>
      </w:pPr>
      <w:rPr>
        <w:rFonts w:ascii="Symbol" w:hAnsi="Symbol" w:hint="default"/>
      </w:rPr>
    </w:lvl>
    <w:lvl w:ilvl="4" w:tplc="874AA096" w:tentative="1">
      <w:start w:val="1"/>
      <w:numFmt w:val="bullet"/>
      <w:lvlText w:val="o"/>
      <w:lvlJc w:val="left"/>
      <w:pPr>
        <w:ind w:left="3600" w:hanging="360"/>
      </w:pPr>
      <w:rPr>
        <w:rFonts w:ascii="Courier New" w:hAnsi="Courier New" w:cs="Courier New" w:hint="default"/>
      </w:rPr>
    </w:lvl>
    <w:lvl w:ilvl="5" w:tplc="37C6EF9C" w:tentative="1">
      <w:start w:val="1"/>
      <w:numFmt w:val="bullet"/>
      <w:lvlText w:val=""/>
      <w:lvlJc w:val="left"/>
      <w:pPr>
        <w:ind w:left="4320" w:hanging="360"/>
      </w:pPr>
      <w:rPr>
        <w:rFonts w:ascii="Wingdings" w:hAnsi="Wingdings" w:hint="default"/>
      </w:rPr>
    </w:lvl>
    <w:lvl w:ilvl="6" w:tplc="EE1425B4" w:tentative="1">
      <w:start w:val="1"/>
      <w:numFmt w:val="bullet"/>
      <w:lvlText w:val=""/>
      <w:lvlJc w:val="left"/>
      <w:pPr>
        <w:ind w:left="5040" w:hanging="360"/>
      </w:pPr>
      <w:rPr>
        <w:rFonts w:ascii="Symbol" w:hAnsi="Symbol" w:hint="default"/>
      </w:rPr>
    </w:lvl>
    <w:lvl w:ilvl="7" w:tplc="D0DACAA2" w:tentative="1">
      <w:start w:val="1"/>
      <w:numFmt w:val="bullet"/>
      <w:lvlText w:val="o"/>
      <w:lvlJc w:val="left"/>
      <w:pPr>
        <w:ind w:left="5760" w:hanging="360"/>
      </w:pPr>
      <w:rPr>
        <w:rFonts w:ascii="Courier New" w:hAnsi="Courier New" w:cs="Courier New" w:hint="default"/>
      </w:rPr>
    </w:lvl>
    <w:lvl w:ilvl="8" w:tplc="3A6824C6"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7"/>
  </w:num>
  <w:num w:numId="5">
    <w:abstractNumId w:val="8"/>
  </w:num>
  <w:num w:numId="6">
    <w:abstractNumId w:val="5"/>
  </w:num>
  <w:num w:numId="7">
    <w:abstractNumId w:val="4"/>
  </w:num>
  <w:num w:numId="8">
    <w:abstractNumId w:val="9"/>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zMjUzMzG2tDQ1MDdT0lEKTi0uzszPAykwrAUAFnIU4ywAAAA="/>
  </w:docVars>
  <w:rsids>
    <w:rsidRoot w:val="00630789"/>
    <w:rsid w:val="000F13F7"/>
    <w:rsid w:val="001644D6"/>
    <w:rsid w:val="001F0255"/>
    <w:rsid w:val="002F5848"/>
    <w:rsid w:val="00342076"/>
    <w:rsid w:val="00423A53"/>
    <w:rsid w:val="00424C6A"/>
    <w:rsid w:val="005073F7"/>
    <w:rsid w:val="005B3852"/>
    <w:rsid w:val="00630789"/>
    <w:rsid w:val="007B1DE8"/>
    <w:rsid w:val="007F6F01"/>
    <w:rsid w:val="008E011C"/>
    <w:rsid w:val="0093003D"/>
    <w:rsid w:val="009309E3"/>
    <w:rsid w:val="0098206D"/>
    <w:rsid w:val="009A61D5"/>
    <w:rsid w:val="00A0556C"/>
    <w:rsid w:val="00A90CA7"/>
    <w:rsid w:val="00AE3E5C"/>
    <w:rsid w:val="00C07AC9"/>
    <w:rsid w:val="00D12104"/>
    <w:rsid w:val="00EA2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4728E"/>
  <w15:docId w15:val="{81A17669-7FE2-4EC6-927A-C82BF8B8F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F025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F02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255"/>
    <w:rPr>
      <w:rFonts w:ascii="Tahoma" w:hAnsi="Tahoma" w:cs="Tahoma"/>
      <w:sz w:val="16"/>
      <w:szCs w:val="16"/>
    </w:rPr>
  </w:style>
  <w:style w:type="paragraph" w:styleId="Header">
    <w:name w:val="header"/>
    <w:basedOn w:val="Normal"/>
    <w:link w:val="HeaderChar"/>
    <w:uiPriority w:val="99"/>
    <w:unhideWhenUsed/>
    <w:rsid w:val="00D12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104"/>
  </w:style>
  <w:style w:type="paragraph" w:styleId="Footer">
    <w:name w:val="footer"/>
    <w:basedOn w:val="Normal"/>
    <w:link w:val="FooterChar"/>
    <w:uiPriority w:val="99"/>
    <w:unhideWhenUsed/>
    <w:rsid w:val="00D12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Windows User</cp:lastModifiedBy>
  <cp:revision>2</cp:revision>
  <dcterms:created xsi:type="dcterms:W3CDTF">2019-10-28T03:45:00Z</dcterms:created>
  <dcterms:modified xsi:type="dcterms:W3CDTF">2019-10-28T03:45:00Z</dcterms:modified>
</cp:coreProperties>
</file>